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1AA5" w:rsidRPr="002A5A38" w:rsidRDefault="00C41AA5" w:rsidP="00C41AA5">
      <w:pPr>
        <w:pBdr>
          <w:bottom w:val="single" w:sz="4" w:space="1" w:color="auto"/>
        </w:pBdr>
        <w:tabs>
          <w:tab w:val="right" w:pos="9639"/>
        </w:tabs>
        <w:spacing w:after="0" w:line="240" w:lineRule="auto"/>
        <w:rPr>
          <w:rFonts w:ascii="Arial" w:eastAsia="MS Mincho" w:hAnsi="Arial" w:cs="Arial"/>
          <w:b/>
          <w:sz w:val="24"/>
          <w:szCs w:val="24"/>
          <w:lang w:eastAsia="ja-JP"/>
        </w:rPr>
      </w:pPr>
      <w:r w:rsidRPr="002A5A38">
        <w:rPr>
          <w:rFonts w:ascii="Arial" w:eastAsia="MS Mincho" w:hAnsi="Arial" w:cs="Arial"/>
          <w:b/>
          <w:sz w:val="24"/>
          <w:szCs w:val="24"/>
          <w:lang w:eastAsia="ja-JP"/>
        </w:rPr>
        <w:t xml:space="preserve">3GPP TSG-SA WG1 Meeting #111 </w:t>
      </w:r>
      <w:r w:rsidRPr="002A5A38">
        <w:rPr>
          <w:rFonts w:ascii="Arial" w:eastAsia="MS Mincho" w:hAnsi="Arial" w:cs="Arial"/>
          <w:b/>
          <w:sz w:val="24"/>
          <w:szCs w:val="24"/>
          <w:lang w:eastAsia="ja-JP"/>
        </w:rPr>
        <w:tab/>
      </w:r>
      <w:r w:rsidRPr="00996F3F">
        <w:rPr>
          <w:rFonts w:ascii="Arial" w:eastAsia="MS Mincho" w:hAnsi="Arial" w:cs="Arial"/>
          <w:b/>
          <w:sz w:val="24"/>
          <w:szCs w:val="24"/>
          <w:lang w:eastAsia="ja-JP"/>
        </w:rPr>
        <w:t>S1-253357</w:t>
      </w:r>
    </w:p>
    <w:p w:rsidR="00C41AA5" w:rsidRPr="002A5A38" w:rsidRDefault="00C41AA5" w:rsidP="00C41AA5">
      <w:pPr>
        <w:pBdr>
          <w:bottom w:val="single" w:sz="4" w:space="1" w:color="auto"/>
        </w:pBdr>
        <w:tabs>
          <w:tab w:val="right" w:pos="9639"/>
        </w:tabs>
        <w:spacing w:after="0" w:line="240" w:lineRule="auto"/>
        <w:jc w:val="both"/>
        <w:rPr>
          <w:rFonts w:ascii="Arial" w:eastAsia="MS Mincho" w:hAnsi="Arial" w:cs="Arial"/>
          <w:b/>
          <w:sz w:val="24"/>
          <w:szCs w:val="24"/>
          <w:lang w:eastAsia="ja-JP"/>
        </w:rPr>
      </w:pPr>
      <w:r w:rsidRPr="002A5A38">
        <w:rPr>
          <w:rFonts w:ascii="Arial" w:eastAsia="MS Mincho" w:hAnsi="Arial" w:cs="Arial"/>
          <w:b/>
          <w:sz w:val="24"/>
          <w:szCs w:val="24"/>
          <w:lang w:eastAsia="ja-JP"/>
        </w:rPr>
        <w:t>Goteborg, Sweden 25-29 August 2025</w:t>
      </w:r>
      <w:r w:rsidRPr="002A5A38">
        <w:rPr>
          <w:rFonts w:ascii="Arial" w:eastAsia="MS Mincho" w:hAnsi="Arial" w:cs="Arial"/>
          <w:b/>
          <w:sz w:val="24"/>
          <w:szCs w:val="24"/>
          <w:lang w:eastAsia="ja-JP"/>
        </w:rPr>
        <w:tab/>
      </w:r>
      <w:r w:rsidRPr="002A5A38">
        <w:rPr>
          <w:rFonts w:ascii="Times New Roman" w:eastAsia="MS Mincho" w:hAnsi="Times New Roman" w:cs="Times New Roman"/>
          <w:i/>
          <w:sz w:val="24"/>
          <w:szCs w:val="24"/>
          <w:lang w:eastAsia="ja-JP"/>
        </w:rPr>
        <w:t>(formerly S1-25</w:t>
      </w:r>
      <w:r>
        <w:rPr>
          <w:rFonts w:ascii="Times New Roman" w:eastAsia="MS Mincho" w:hAnsi="Times New Roman" w:cs="Times New Roman"/>
          <w:i/>
          <w:sz w:val="24"/>
          <w:szCs w:val="24"/>
          <w:lang w:eastAsia="ja-JP"/>
        </w:rPr>
        <w:t>xxxx</w:t>
      </w:r>
      <w:r w:rsidRPr="002A5A38">
        <w:rPr>
          <w:rFonts w:ascii="Times New Roman" w:eastAsia="MS Mincho" w:hAnsi="Times New Roman" w:cs="Times New Roman"/>
          <w:i/>
          <w:sz w:val="24"/>
          <w:szCs w:val="24"/>
          <w:lang w:eastAsia="ja-JP"/>
        </w:rPr>
        <w:t>)</w:t>
      </w:r>
    </w:p>
    <w:p w:rsidR="00C41AA5" w:rsidRPr="002A5A38" w:rsidRDefault="00C41AA5" w:rsidP="00C41AA5">
      <w:pPr>
        <w:spacing w:after="0" w:line="240" w:lineRule="auto"/>
        <w:rPr>
          <w:rFonts w:ascii="Arial" w:eastAsia="MS Mincho" w:hAnsi="Arial" w:cs="Times New Roman"/>
          <w:sz w:val="24"/>
          <w:szCs w:val="24"/>
          <w:lang w:eastAsia="ja-JP"/>
        </w:rPr>
      </w:pPr>
    </w:p>
    <w:p w:rsidR="00C41AA5" w:rsidRPr="002A5A38" w:rsidRDefault="00C41AA5" w:rsidP="00C41AA5">
      <w:pPr>
        <w:tabs>
          <w:tab w:val="left" w:pos="1701"/>
        </w:tabs>
        <w:overflowPunct w:val="0"/>
        <w:autoSpaceDE w:val="0"/>
        <w:autoSpaceDN w:val="0"/>
        <w:adjustRightInd w:val="0"/>
        <w:spacing w:after="180" w:line="240" w:lineRule="auto"/>
        <w:textAlignment w:val="baseline"/>
        <w:rPr>
          <w:rFonts w:ascii="Arial" w:eastAsia="SimSun" w:hAnsi="Arial" w:cs="Times New Roman"/>
          <w:sz w:val="24"/>
          <w:szCs w:val="24"/>
          <w:lang w:eastAsia="en-GB"/>
        </w:rPr>
      </w:pPr>
      <w:r w:rsidRPr="002A5A38">
        <w:rPr>
          <w:rFonts w:ascii="Arial" w:eastAsia="SimSun" w:hAnsi="Arial" w:cs="Times New Roman"/>
          <w:sz w:val="24"/>
          <w:szCs w:val="24"/>
          <w:lang w:eastAsia="en-GB"/>
        </w:rPr>
        <w:t>Source:</w:t>
      </w:r>
      <w:r w:rsidRPr="002A5A38">
        <w:rPr>
          <w:rFonts w:ascii="Arial" w:eastAsia="SimSun" w:hAnsi="Arial" w:cs="Times New Roman"/>
          <w:sz w:val="24"/>
          <w:szCs w:val="24"/>
          <w:lang w:eastAsia="en-GB"/>
        </w:rPr>
        <w:tab/>
        <w:t>Xiaomi</w:t>
      </w:r>
    </w:p>
    <w:p w:rsidR="00C41AA5" w:rsidRPr="002A5A38" w:rsidRDefault="00C41AA5" w:rsidP="00C41AA5">
      <w:pPr>
        <w:tabs>
          <w:tab w:val="left" w:pos="1701"/>
        </w:tabs>
        <w:overflowPunct w:val="0"/>
        <w:autoSpaceDE w:val="0"/>
        <w:autoSpaceDN w:val="0"/>
        <w:adjustRightInd w:val="0"/>
        <w:spacing w:after="180" w:line="240" w:lineRule="auto"/>
        <w:textAlignment w:val="baseline"/>
        <w:rPr>
          <w:rFonts w:ascii="Arial" w:eastAsia="SimSun" w:hAnsi="Arial" w:cs="Times New Roman"/>
          <w:sz w:val="24"/>
          <w:szCs w:val="24"/>
          <w:lang w:eastAsia="en-GB"/>
        </w:rPr>
      </w:pPr>
      <w:proofErr w:type="spellStart"/>
      <w:r w:rsidRPr="002A5A38">
        <w:rPr>
          <w:rFonts w:ascii="Arial" w:eastAsia="SimSun" w:hAnsi="Arial" w:cs="Times New Roman"/>
          <w:sz w:val="24"/>
          <w:szCs w:val="24"/>
          <w:lang w:eastAsia="en-GB"/>
        </w:rPr>
        <w:t>pCR</w:t>
      </w:r>
      <w:proofErr w:type="spellEnd"/>
      <w:r w:rsidRPr="002A5A38">
        <w:rPr>
          <w:rFonts w:ascii="Arial" w:eastAsia="SimSun" w:hAnsi="Arial" w:cs="Times New Roman"/>
          <w:sz w:val="24"/>
          <w:szCs w:val="24"/>
          <w:lang w:eastAsia="en-GB"/>
        </w:rPr>
        <w:t xml:space="preserve"> Title:</w:t>
      </w:r>
      <w:r w:rsidRPr="002A5A38">
        <w:rPr>
          <w:rFonts w:ascii="Arial" w:eastAsia="SimSun" w:hAnsi="Arial" w:cs="Times New Roman"/>
          <w:sz w:val="24"/>
          <w:szCs w:val="24"/>
          <w:lang w:eastAsia="en-GB"/>
        </w:rPr>
        <w:tab/>
      </w:r>
      <w:proofErr w:type="spellStart"/>
      <w:r w:rsidRPr="002A5A38">
        <w:rPr>
          <w:rFonts w:ascii="Arial" w:eastAsia="SimSun" w:hAnsi="Arial" w:cs="Times New Roman"/>
          <w:sz w:val="24"/>
          <w:szCs w:val="24"/>
          <w:lang w:eastAsia="en-GB"/>
        </w:rPr>
        <w:t>pCR</w:t>
      </w:r>
      <w:proofErr w:type="spellEnd"/>
      <w:r w:rsidRPr="002A5A38">
        <w:rPr>
          <w:rFonts w:ascii="Arial" w:eastAsia="SimSun" w:hAnsi="Arial" w:cs="Times New Roman"/>
          <w:sz w:val="24"/>
          <w:szCs w:val="24"/>
          <w:lang w:eastAsia="en-GB"/>
        </w:rPr>
        <w:t xml:space="preserve"> </w:t>
      </w:r>
      <w:r w:rsidR="003C4D10">
        <w:rPr>
          <w:rFonts w:ascii="Arial" w:eastAsia="SimSun" w:hAnsi="Arial" w:cs="Times New Roman"/>
          <w:sz w:val="24"/>
          <w:szCs w:val="24"/>
          <w:lang w:eastAsia="en-GB"/>
        </w:rPr>
        <w:t xml:space="preserve">New Use Case </w:t>
      </w:r>
      <w:r w:rsidRPr="002A5A38">
        <w:rPr>
          <w:rFonts w:ascii="Arial" w:eastAsia="SimSun" w:hAnsi="Arial" w:cs="Times New Roman"/>
          <w:sz w:val="24"/>
          <w:szCs w:val="24"/>
          <w:lang w:eastAsia="en-GB"/>
        </w:rPr>
        <w:t xml:space="preserve">for </w:t>
      </w:r>
      <w:r>
        <w:rPr>
          <w:rFonts w:ascii="Arial" w:eastAsia="SimSun" w:hAnsi="Arial" w:cs="Times New Roman"/>
          <w:sz w:val="24"/>
          <w:szCs w:val="24"/>
          <w:lang w:eastAsia="en-GB"/>
        </w:rPr>
        <w:t>Efficient Sensing service delivery to sensor groups</w:t>
      </w:r>
    </w:p>
    <w:p w:rsidR="00C41AA5" w:rsidRPr="002A5A38" w:rsidRDefault="00C41AA5" w:rsidP="00C41AA5">
      <w:pPr>
        <w:tabs>
          <w:tab w:val="left" w:pos="1701"/>
        </w:tabs>
        <w:overflowPunct w:val="0"/>
        <w:autoSpaceDE w:val="0"/>
        <w:autoSpaceDN w:val="0"/>
        <w:adjustRightInd w:val="0"/>
        <w:spacing w:after="180" w:line="240" w:lineRule="auto"/>
        <w:textAlignment w:val="baseline"/>
        <w:rPr>
          <w:rFonts w:ascii="Arial" w:eastAsia="SimSun" w:hAnsi="Arial" w:cs="Times New Roman"/>
          <w:sz w:val="24"/>
          <w:szCs w:val="24"/>
          <w:lang w:eastAsia="en-GB"/>
        </w:rPr>
      </w:pPr>
      <w:r w:rsidRPr="002A5A38">
        <w:rPr>
          <w:rFonts w:ascii="Arial" w:eastAsia="SimSun" w:hAnsi="Arial" w:cs="Times New Roman"/>
          <w:sz w:val="24"/>
          <w:szCs w:val="24"/>
          <w:lang w:eastAsia="en-GB"/>
        </w:rPr>
        <w:t>Draft Spec:</w:t>
      </w:r>
      <w:r w:rsidRPr="002A5A38">
        <w:rPr>
          <w:rFonts w:ascii="Arial" w:eastAsia="SimSun" w:hAnsi="Arial" w:cs="Times New Roman"/>
          <w:sz w:val="24"/>
          <w:szCs w:val="24"/>
          <w:lang w:eastAsia="en-GB"/>
        </w:rPr>
        <w:tab/>
        <w:t>TR 22.870 v0.3.1</w:t>
      </w:r>
    </w:p>
    <w:p w:rsidR="00C41AA5" w:rsidRPr="002A5A38" w:rsidRDefault="00C41AA5" w:rsidP="00C41AA5">
      <w:pPr>
        <w:tabs>
          <w:tab w:val="left" w:pos="1701"/>
        </w:tabs>
        <w:overflowPunct w:val="0"/>
        <w:autoSpaceDE w:val="0"/>
        <w:autoSpaceDN w:val="0"/>
        <w:adjustRightInd w:val="0"/>
        <w:spacing w:after="180" w:line="240" w:lineRule="auto"/>
        <w:textAlignment w:val="baseline"/>
        <w:rPr>
          <w:rFonts w:ascii="Arial" w:eastAsia="SimSun" w:hAnsi="Arial" w:cs="Times New Roman"/>
          <w:sz w:val="24"/>
          <w:szCs w:val="24"/>
          <w:lang w:eastAsia="en-GB"/>
        </w:rPr>
      </w:pPr>
      <w:r w:rsidRPr="002A5A38">
        <w:rPr>
          <w:rFonts w:ascii="Arial" w:eastAsia="SimSun" w:hAnsi="Arial" w:cs="Times New Roman"/>
          <w:sz w:val="24"/>
          <w:szCs w:val="24"/>
          <w:lang w:eastAsia="en-GB"/>
        </w:rPr>
        <w:t>Agenda item:</w:t>
      </w:r>
      <w:r w:rsidRPr="002A5A38">
        <w:rPr>
          <w:rFonts w:ascii="Arial" w:eastAsia="SimSun" w:hAnsi="Arial" w:cs="Times New Roman"/>
          <w:sz w:val="24"/>
          <w:szCs w:val="24"/>
          <w:lang w:eastAsia="en-GB"/>
        </w:rPr>
        <w:tab/>
        <w:t>8.1.</w:t>
      </w:r>
      <w:r>
        <w:rPr>
          <w:rFonts w:ascii="Arial" w:eastAsia="SimSun" w:hAnsi="Arial" w:cs="Times New Roman"/>
          <w:sz w:val="24"/>
          <w:szCs w:val="24"/>
          <w:lang w:eastAsia="en-GB"/>
        </w:rPr>
        <w:t>4</w:t>
      </w:r>
      <w:r w:rsidRPr="002A5A38">
        <w:rPr>
          <w:rFonts w:ascii="Arial" w:eastAsia="SimSun" w:hAnsi="Arial" w:cs="Times New Roman"/>
          <w:sz w:val="24"/>
          <w:szCs w:val="24"/>
          <w:lang w:eastAsia="en-GB"/>
        </w:rPr>
        <w:t xml:space="preserve"> </w:t>
      </w:r>
    </w:p>
    <w:p w:rsidR="00C41AA5" w:rsidRPr="002A5A38" w:rsidRDefault="00C41AA5" w:rsidP="00C41AA5">
      <w:pPr>
        <w:tabs>
          <w:tab w:val="left" w:pos="1701"/>
        </w:tabs>
        <w:overflowPunct w:val="0"/>
        <w:autoSpaceDE w:val="0"/>
        <w:autoSpaceDN w:val="0"/>
        <w:adjustRightInd w:val="0"/>
        <w:spacing w:after="180" w:line="240" w:lineRule="auto"/>
        <w:textAlignment w:val="baseline"/>
        <w:rPr>
          <w:rFonts w:ascii="Arial" w:eastAsia="SimSun" w:hAnsi="Arial" w:cs="Times New Roman"/>
          <w:sz w:val="24"/>
          <w:szCs w:val="24"/>
          <w:lang w:eastAsia="en-GB"/>
        </w:rPr>
      </w:pPr>
      <w:r w:rsidRPr="002A5A38">
        <w:rPr>
          <w:rFonts w:ascii="Arial" w:eastAsia="SimSun" w:hAnsi="Arial" w:cs="Times New Roman"/>
          <w:sz w:val="24"/>
          <w:szCs w:val="24"/>
          <w:lang w:eastAsia="en-GB"/>
        </w:rPr>
        <w:t>Document for:</w:t>
      </w:r>
      <w:r w:rsidRPr="002A5A38">
        <w:rPr>
          <w:rFonts w:ascii="Arial" w:eastAsia="SimSun" w:hAnsi="Arial" w:cs="Times New Roman"/>
          <w:sz w:val="24"/>
          <w:szCs w:val="24"/>
          <w:lang w:eastAsia="en-GB"/>
        </w:rPr>
        <w:tab/>
        <w:t>Approval</w:t>
      </w:r>
    </w:p>
    <w:p w:rsidR="00C41AA5" w:rsidRPr="002A5A38" w:rsidRDefault="00C41AA5" w:rsidP="00C41AA5">
      <w:pPr>
        <w:tabs>
          <w:tab w:val="left" w:pos="1701"/>
        </w:tabs>
        <w:overflowPunct w:val="0"/>
        <w:autoSpaceDE w:val="0"/>
        <w:autoSpaceDN w:val="0"/>
        <w:adjustRightInd w:val="0"/>
        <w:spacing w:after="180" w:line="240" w:lineRule="auto"/>
        <w:textAlignment w:val="baseline"/>
        <w:rPr>
          <w:rFonts w:ascii="Arial" w:eastAsia="SimSun" w:hAnsi="Arial" w:cs="Times New Roman"/>
          <w:sz w:val="24"/>
          <w:szCs w:val="24"/>
          <w:lang w:eastAsia="en-GB"/>
        </w:rPr>
      </w:pPr>
      <w:r w:rsidRPr="002A5A38">
        <w:rPr>
          <w:rFonts w:ascii="Arial" w:eastAsia="SimSun" w:hAnsi="Arial" w:cs="Times New Roman"/>
          <w:sz w:val="24"/>
          <w:szCs w:val="24"/>
          <w:lang w:eastAsia="en-GB"/>
        </w:rPr>
        <w:t>Contact:</w:t>
      </w:r>
      <w:r w:rsidRPr="002A5A38">
        <w:rPr>
          <w:rFonts w:ascii="Arial" w:eastAsia="SimSun" w:hAnsi="Arial" w:cs="Times New Roman"/>
          <w:sz w:val="24"/>
          <w:szCs w:val="24"/>
          <w:lang w:eastAsia="en-GB"/>
        </w:rPr>
        <w:tab/>
        <w:t>Gordon Young &lt;gordonpetery@xiaomi.com</w:t>
      </w:r>
    </w:p>
    <w:p w:rsidR="00C41AA5" w:rsidRPr="002A5A38" w:rsidRDefault="00C41AA5" w:rsidP="00C41AA5">
      <w:pPr>
        <w:pBdr>
          <w:bottom w:val="single" w:sz="12" w:space="1" w:color="auto"/>
        </w:pBdr>
        <w:spacing w:after="200" w:line="276" w:lineRule="auto"/>
        <w:rPr>
          <w:rFonts w:ascii="Arial" w:eastAsia="Calibri" w:hAnsi="Arial" w:cs="Arial"/>
          <w:i/>
        </w:rPr>
      </w:pPr>
    </w:p>
    <w:p w:rsidR="00C41AA5" w:rsidRPr="002A5A38" w:rsidRDefault="00C41AA5" w:rsidP="00C41AA5">
      <w:pPr>
        <w:spacing w:after="200" w:line="276" w:lineRule="auto"/>
        <w:rPr>
          <w:rFonts w:ascii="Arial" w:eastAsia="Calibri" w:hAnsi="Arial" w:cs="Arial"/>
          <w:i/>
        </w:rPr>
      </w:pPr>
      <w:r w:rsidRPr="002A5A38">
        <w:rPr>
          <w:rFonts w:ascii="Arial" w:eastAsia="Calibri" w:hAnsi="Arial" w:cs="Arial"/>
          <w:i/>
        </w:rPr>
        <w:t>Abstract: this paper proposes a…</w:t>
      </w:r>
    </w:p>
    <w:p w:rsidR="00C41AA5" w:rsidRPr="002A5A38" w:rsidRDefault="00C41AA5" w:rsidP="00C41AA5">
      <w:pPr>
        <w:pBdr>
          <w:bottom w:val="single" w:sz="12" w:space="1" w:color="auto"/>
        </w:pBdr>
        <w:spacing w:after="200" w:line="276" w:lineRule="auto"/>
        <w:rPr>
          <w:rFonts w:ascii="Arial" w:eastAsia="Calibri" w:hAnsi="Arial" w:cs="Arial"/>
          <w:i/>
        </w:rPr>
      </w:pPr>
    </w:p>
    <w:p w:rsidR="00C41AA5" w:rsidRDefault="00C41AA5" w:rsidP="00C41AA5"/>
    <w:p w:rsidR="00C41AA5" w:rsidRPr="003C4D10" w:rsidRDefault="00C41AA5" w:rsidP="00C41AA5">
      <w:pPr>
        <w:rPr>
          <w:rFonts w:ascii="Arial" w:eastAsia="DengXian" w:hAnsi="Arial" w:cs="Times New Roman"/>
          <w:sz w:val="32"/>
          <w:szCs w:val="20"/>
          <w:lang w:val="en-US" w:eastAsia="zh-CN"/>
        </w:rPr>
      </w:pPr>
      <w:r w:rsidRPr="003C4D10">
        <w:rPr>
          <w:rFonts w:ascii="Arial" w:eastAsia="DengXian" w:hAnsi="Arial" w:cs="Times New Roman"/>
          <w:sz w:val="32"/>
          <w:szCs w:val="20"/>
          <w:lang w:val="en-US" w:eastAsia="zh-CN"/>
        </w:rPr>
        <w:t>7.X Efficient delivery of Sensing Service</w:t>
      </w:r>
    </w:p>
    <w:p w:rsidR="00C41AA5" w:rsidRDefault="00C41AA5" w:rsidP="00C41AA5">
      <w:r>
        <w:t xml:space="preserve">Currently there is no separation of target sensing service area and sensing service area. </w:t>
      </w:r>
    </w:p>
    <w:p w:rsidR="00C41AA5" w:rsidRDefault="00C41AA5" w:rsidP="00C41AA5">
      <w:r>
        <w:t>It can be envisaged that many sensing service subscribers e.g. for autonomous driving, can expect sensing service area and target sensing service area to overlap so that they receive service for the area that they are travelling in.</w:t>
      </w:r>
    </w:p>
    <w:p w:rsidR="00C41AA5" w:rsidRDefault="00C41AA5" w:rsidP="00C41AA5">
      <w:r>
        <w:t>However there may be subscribers and hence intended recipients of the sensing service that are outside of the sensing target area that wish to receive the sensing service depicting the sensing target area. In particular users approaching a target sensing service area may receive information about the target area but would not be involved in the sensing operation in the area.</w:t>
      </w:r>
    </w:p>
    <w:p w:rsidR="00C41AA5" w:rsidRDefault="00C41AA5" w:rsidP="00C41AA5">
      <w:r>
        <w:t>We define target sensing service area [TS 22.137] as,</w:t>
      </w:r>
    </w:p>
    <w:p w:rsidR="00C41AA5" w:rsidRPr="00F470A7" w:rsidRDefault="00C41AA5" w:rsidP="00C41AA5">
      <w:pPr>
        <w:spacing w:after="180" w:line="240" w:lineRule="auto"/>
        <w:rPr>
          <w:rFonts w:eastAsia="MS Mincho" w:cstheme="minorHAnsi"/>
          <w:szCs w:val="20"/>
          <w:lang w:val="en-US" w:eastAsia="zh-CN" w:bidi="ar"/>
        </w:rPr>
      </w:pPr>
      <w:r w:rsidRPr="00F470A7">
        <w:rPr>
          <w:rFonts w:eastAsia="MS Mincho" w:cstheme="minorHAnsi"/>
          <w:b/>
          <w:bCs/>
          <w:szCs w:val="20"/>
          <w:lang w:eastAsia="zh-CN" w:bidi="ar"/>
        </w:rPr>
        <w:t>Target sensing</w:t>
      </w:r>
      <w:r w:rsidRPr="00F470A7">
        <w:rPr>
          <w:rFonts w:eastAsia="MS Mincho" w:cstheme="minorHAnsi"/>
          <w:b/>
          <w:bCs/>
          <w:szCs w:val="20"/>
          <w:lang w:val="en-US" w:eastAsia="zh-CN" w:bidi="ar"/>
        </w:rPr>
        <w:t xml:space="preserve"> service area</w:t>
      </w:r>
      <w:r w:rsidRPr="00F470A7">
        <w:rPr>
          <w:rFonts w:eastAsia="MS Mincho" w:cstheme="minorHAnsi"/>
          <w:szCs w:val="20"/>
          <w:lang w:val="en-US" w:eastAsia="zh-CN" w:bidi="ar"/>
        </w:rPr>
        <w:t xml:space="preserve">: a cartesian location area that needs to be sensed by deriving </w:t>
      </w:r>
      <w:r w:rsidRPr="00F470A7">
        <w:rPr>
          <w:rFonts w:eastAsia="MS Mincho" w:cstheme="minorHAnsi"/>
          <w:bCs/>
          <w:szCs w:val="20"/>
        </w:rPr>
        <w:t>characteristics of the environment and/or objects within the environment</w:t>
      </w:r>
      <w:r w:rsidRPr="00F470A7">
        <w:rPr>
          <w:rFonts w:eastAsia="MS Mincho" w:cstheme="minorHAnsi"/>
          <w:szCs w:val="20"/>
          <w:lang w:val="en-US" w:eastAsia="zh-CN" w:bidi="ar"/>
        </w:rPr>
        <w:t xml:space="preserve"> with certain sensing service quality from the impacted (e.g., reflected, refracted, diffracted) 3GPP radio signals. This includes both indoor and outdoor environments.</w:t>
      </w:r>
    </w:p>
    <w:p w:rsidR="00C41AA5" w:rsidRDefault="00C41AA5" w:rsidP="00C41AA5">
      <w:r>
        <w:t>As such we need to define the sensing service area.</w:t>
      </w:r>
    </w:p>
    <w:p w:rsidR="00C41AA5" w:rsidRPr="00DB3843" w:rsidRDefault="00C41AA5" w:rsidP="00C41AA5">
      <w:pPr>
        <w:rPr>
          <w:b/>
        </w:rPr>
      </w:pPr>
      <w:r w:rsidRPr="00DB3843">
        <w:rPr>
          <w:b/>
        </w:rPr>
        <w:t>Definition</w:t>
      </w:r>
    </w:p>
    <w:p w:rsidR="00C41AA5" w:rsidRDefault="00C41AA5" w:rsidP="00C41AA5">
      <w:r w:rsidRPr="00DB3843">
        <w:rPr>
          <w:b/>
        </w:rPr>
        <w:t>Sensing service area:</w:t>
      </w:r>
      <w:r>
        <w:t xml:space="preserve"> </w:t>
      </w:r>
      <w:r w:rsidRPr="00F470A7">
        <w:t>a cartesian location area</w:t>
      </w:r>
      <w:r>
        <w:t xml:space="preserve"> where sensing service is delivered by the sensing service.</w:t>
      </w:r>
    </w:p>
    <w:p w:rsidR="00C41AA5" w:rsidRDefault="00C41AA5" w:rsidP="00C41AA5">
      <w:r>
        <w:t xml:space="preserve">Additionally the sensing service may need to provide sensing service delivery to individual UE outside of the area e.g. for monitoring or to assist first responders. These individuals also need to be identified to the 6G network so that sensing service can be reliably delivered. </w:t>
      </w:r>
    </w:p>
    <w:p w:rsidR="00C41AA5" w:rsidRDefault="00C41AA5" w:rsidP="00C41AA5"/>
    <w:p w:rsidR="00C41AA5" w:rsidRPr="003C4D10" w:rsidRDefault="00C41AA5" w:rsidP="00C41AA5">
      <w:pPr>
        <w:rPr>
          <w:rFonts w:ascii="Arial" w:eastAsia="SimSun" w:hAnsi="Arial" w:cs="Times New Roman"/>
          <w:sz w:val="28"/>
          <w:szCs w:val="20"/>
          <w:lang w:val="en-US" w:eastAsia="zh-CN"/>
        </w:rPr>
      </w:pPr>
      <w:r w:rsidRPr="003C4D10">
        <w:rPr>
          <w:rFonts w:ascii="Arial" w:eastAsia="SimSun" w:hAnsi="Arial" w:cs="Times New Roman"/>
          <w:sz w:val="28"/>
          <w:szCs w:val="20"/>
          <w:lang w:val="en-US" w:eastAsia="zh-CN"/>
        </w:rPr>
        <w:lastRenderedPageBreak/>
        <w:t>7.X.1 Description</w:t>
      </w:r>
    </w:p>
    <w:p w:rsidR="00C41AA5" w:rsidRDefault="00C41AA5" w:rsidP="00C41AA5">
      <w:r>
        <w:t>Subscribers operating within the sensing service area need to receive the sensing service efficiently, in some aspects this may be best served by a broadcast service. However some services operation may be being delivered (an enhanced service based on a more general service over laid in the same area, with enhanced service delivery reliability) and intended for a smaller group of users. To manage these users grouping the users to determine their location and provide group cast, multi-cast or even dedicated delivery is advantageous.</w:t>
      </w:r>
    </w:p>
    <w:p w:rsidR="00C41AA5" w:rsidRDefault="00C41AA5" w:rsidP="00C41AA5">
      <w:r>
        <w:t xml:space="preserve">In order to facilitate this the 6G network may determine to broadcast the sensing service or sensing results to these multiple sensing service subscribers. Since the decision to transmit the sensing service via dedicated or broadcast (or multicast) is a matter for the network based on efficient delivery in each BS transmission area the selection of this is left to the 6G network to decide. </w:t>
      </w:r>
    </w:p>
    <w:p w:rsidR="00C41AA5" w:rsidRDefault="00C41AA5" w:rsidP="00C41AA5">
      <w:r>
        <w:t xml:space="preserve">However this decision could be </w:t>
      </w:r>
      <w:proofErr w:type="spellStart"/>
      <w:r>
        <w:t>defacto</w:t>
      </w:r>
      <w:proofErr w:type="spellEnd"/>
      <w:r>
        <w:t xml:space="preserve">, meaning the decision to broadcast, multicast, groupcast or dedicated transmission is always a configuration option for the 6G network since it is an operation efficiency decision. Alternatively the sensing service type may be such that only one or a subset of these transmission modes is an option, e.g. always transmit in dedicated mode i.e. 1-2-1 from the RAN BS. (note in another scenario e.g. out of 6G network coverage) the transmission node may be another sensing UE transmitted via PC5. </w:t>
      </w:r>
    </w:p>
    <w:p w:rsidR="00C41AA5" w:rsidRDefault="00C41AA5" w:rsidP="00C41AA5">
      <w:r>
        <w:t>As such the sensing service may have the ability to indicate the expected options for transmission to registered active users in a sensing service area, and the Sensing function will communicate this to the transmission nodes involved in sending the sensing service or sensing results for some of the sensing service area or for some specific users of the service this may be on a UE by UE basis to enable the sensing service to set required higher levels of communication service reliability.</w:t>
      </w:r>
    </w:p>
    <w:p w:rsidR="00C41AA5" w:rsidRDefault="00C41AA5" w:rsidP="00C41AA5">
      <w:r w:rsidRPr="00246ABE">
        <w:t>This grouping function is particularly useful in scenarios for example in industrial scenarios where deployments of multiple AMRs may be identified on their proximity and need to cooperate together producing sensing data for a target area to enhance viewing. This is similar to the scenario in TR22.870 use case 7.7 where AMR collaborate to increase the sensing area visibility where obstructed views may occur (noted this may be unpredictable when large objects are moved around and industrial area). In a particular scenario the sensing service is delivered to one or more other service subscribers in the same area some of which may not be participating in the reception of sensing data.</w:t>
      </w:r>
    </w:p>
    <w:p w:rsidR="00C41AA5" w:rsidRPr="009F6C46" w:rsidRDefault="00C41AA5" w:rsidP="00C41AA5">
      <w:r w:rsidRPr="009F6C46">
        <w:t xml:space="preserve">To achieve this the sensing  service may establish groups of subscribers for reception, e.g. via broadcast. This is akin to the functionality already adopted for delivery of V2X services wherein the V2X service can utilise network functions such as </w:t>
      </w:r>
      <w:r>
        <w:t xml:space="preserve">location management, </w:t>
      </w:r>
      <w:r w:rsidRPr="009F6C46">
        <w:t>group</w:t>
      </w:r>
      <w:r>
        <w:t xml:space="preserve"> management</w:t>
      </w:r>
      <w:r w:rsidRPr="009F6C46">
        <w:t xml:space="preserve"> and </w:t>
      </w:r>
      <w:r>
        <w:t>configuration management for</w:t>
      </w:r>
      <w:r w:rsidRPr="009F6C46">
        <w:t xml:space="preserve"> delivery of the V2X service. This is exemplified in the deployment and interaction of a V2X VAL service (VAL client and VAL server) which interacts with SEAL services for </w:t>
      </w:r>
      <w:r>
        <w:t xml:space="preserve">these services </w:t>
      </w:r>
      <w:r w:rsidRPr="009F6C46">
        <w:t xml:space="preserve">as well as other SEAL services including </w:t>
      </w:r>
      <w:r>
        <w:t>user identity management and network resource management</w:t>
      </w:r>
      <w:r w:rsidRPr="009F6C46">
        <w:t xml:space="preserve"> [TS23.434]</w:t>
      </w:r>
    </w:p>
    <w:p w:rsidR="00C41AA5" w:rsidRDefault="00C41AA5" w:rsidP="00C41AA5"/>
    <w:p w:rsidR="00C41AA5" w:rsidRPr="003C4D10" w:rsidRDefault="00C41AA5" w:rsidP="00C41AA5">
      <w:pPr>
        <w:rPr>
          <w:rFonts w:ascii="Arial" w:eastAsia="SimSun" w:hAnsi="Arial" w:cs="Times New Roman"/>
          <w:sz w:val="28"/>
          <w:szCs w:val="20"/>
          <w:lang w:val="en-US" w:eastAsia="zh-CN"/>
        </w:rPr>
      </w:pPr>
      <w:r w:rsidRPr="003C4D10">
        <w:rPr>
          <w:rFonts w:ascii="Arial" w:eastAsia="SimSun" w:hAnsi="Arial" w:cs="Times New Roman"/>
          <w:sz w:val="28"/>
          <w:szCs w:val="20"/>
          <w:lang w:val="en-US" w:eastAsia="zh-CN"/>
        </w:rPr>
        <w:t>7.X.2 Pre-conditions</w:t>
      </w:r>
    </w:p>
    <w:p w:rsidR="00C41AA5" w:rsidRDefault="00C41AA5" w:rsidP="00C41AA5">
      <w:r>
        <w:t>Service subscribers for an enhanced service delivery within the same sensing service area as other service subscribers operating for a similar sensing service with the same sensing service provider. All sensing service subscribers are available to provide sensing measurements for both sensing services.</w:t>
      </w:r>
    </w:p>
    <w:p w:rsidR="00C41AA5" w:rsidRDefault="00C41AA5" w:rsidP="00C41AA5"/>
    <w:p w:rsidR="00C41AA5" w:rsidRPr="003C4D10" w:rsidRDefault="00C41AA5" w:rsidP="00C41AA5">
      <w:pPr>
        <w:rPr>
          <w:rFonts w:ascii="Arial" w:eastAsia="SimSun" w:hAnsi="Arial" w:cs="Times New Roman"/>
          <w:sz w:val="28"/>
          <w:szCs w:val="20"/>
          <w:lang w:val="en-US" w:eastAsia="zh-CN"/>
        </w:rPr>
      </w:pPr>
      <w:r w:rsidRPr="003C4D10">
        <w:rPr>
          <w:rFonts w:ascii="Arial" w:eastAsia="SimSun" w:hAnsi="Arial" w:cs="Times New Roman"/>
          <w:sz w:val="28"/>
          <w:szCs w:val="20"/>
          <w:lang w:val="en-US" w:eastAsia="zh-CN"/>
        </w:rPr>
        <w:t>7.X.3 Service Flows</w:t>
      </w:r>
    </w:p>
    <w:p w:rsidR="00C41AA5" w:rsidRDefault="00C41AA5" w:rsidP="00C41AA5">
      <w:pPr>
        <w:pStyle w:val="ListParagraph"/>
        <w:numPr>
          <w:ilvl w:val="0"/>
          <w:numId w:val="1"/>
        </w:numPr>
      </w:pPr>
      <w:r>
        <w:t>Identifying that enhanced service subscribers are operating in an over lapping sensing service area the sensing service provider identifies the enhanced service subscribers and groups them together for service delivery.</w:t>
      </w:r>
    </w:p>
    <w:p w:rsidR="00C41AA5" w:rsidRDefault="00C41AA5" w:rsidP="00C41AA5">
      <w:pPr>
        <w:pStyle w:val="ListParagraph"/>
        <w:numPr>
          <w:ilvl w:val="0"/>
          <w:numId w:val="1"/>
        </w:numPr>
      </w:pPr>
      <w:r>
        <w:t>The sensing service provider notifies the 6G network sensing service controller of the new enhanced service and the group identity of the subscribers.</w:t>
      </w:r>
    </w:p>
    <w:p w:rsidR="00C41AA5" w:rsidRDefault="00C41AA5" w:rsidP="00C41AA5">
      <w:pPr>
        <w:pStyle w:val="ListParagraph"/>
        <w:numPr>
          <w:ilvl w:val="0"/>
          <w:numId w:val="1"/>
        </w:numPr>
      </w:pPr>
      <w:r>
        <w:t>The 6G network configures the communication resources for this group to ensure efficient and reliable delivery of the enhanced service.</w:t>
      </w:r>
    </w:p>
    <w:p w:rsidR="00C41AA5" w:rsidRDefault="00C41AA5" w:rsidP="00C41AA5"/>
    <w:p w:rsidR="00C41AA5" w:rsidRPr="003C4D10" w:rsidRDefault="00C41AA5" w:rsidP="00C41AA5">
      <w:pPr>
        <w:rPr>
          <w:rFonts w:ascii="Arial" w:eastAsia="SimSun" w:hAnsi="Arial" w:cs="Times New Roman"/>
          <w:sz w:val="28"/>
          <w:szCs w:val="20"/>
          <w:lang w:val="en-US" w:eastAsia="zh-CN"/>
        </w:rPr>
      </w:pPr>
      <w:r w:rsidRPr="003C4D10">
        <w:rPr>
          <w:rFonts w:ascii="Arial" w:eastAsia="SimSun" w:hAnsi="Arial" w:cs="Times New Roman"/>
          <w:sz w:val="28"/>
          <w:szCs w:val="20"/>
          <w:lang w:val="en-US" w:eastAsia="zh-CN"/>
        </w:rPr>
        <w:t>7.X.4 Post Conditions</w:t>
      </w:r>
    </w:p>
    <w:p w:rsidR="00C41AA5" w:rsidRDefault="00C41AA5" w:rsidP="00C41AA5">
      <w:r>
        <w:t>The 6G network delivers the sensing results for the target sensing service area to the sensing service provider. And ensures delivery of the sensing service via the 6G network to this group of subscribers by the most efficient means possible e.g. using delivery via broadcast, group-cast or dedicated data flows.</w:t>
      </w:r>
    </w:p>
    <w:p w:rsidR="00C41AA5" w:rsidRDefault="00C41AA5" w:rsidP="00C41AA5"/>
    <w:p w:rsidR="00C41AA5" w:rsidRPr="003C4D10" w:rsidRDefault="00C41AA5" w:rsidP="00C41AA5">
      <w:pPr>
        <w:rPr>
          <w:rFonts w:ascii="Arial" w:eastAsia="SimSun" w:hAnsi="Arial" w:cs="Times New Roman"/>
          <w:sz w:val="28"/>
          <w:szCs w:val="20"/>
          <w:lang w:val="en-US" w:eastAsia="zh-CN"/>
        </w:rPr>
      </w:pPr>
      <w:r w:rsidRPr="003C4D10">
        <w:rPr>
          <w:rFonts w:ascii="Arial" w:eastAsia="SimSun" w:hAnsi="Arial" w:cs="Times New Roman"/>
          <w:sz w:val="28"/>
          <w:szCs w:val="20"/>
          <w:lang w:val="en-US" w:eastAsia="zh-CN"/>
        </w:rPr>
        <w:t>7.X.5</w:t>
      </w:r>
      <w:r w:rsidRPr="003C4D10">
        <w:rPr>
          <w:rFonts w:ascii="Arial" w:eastAsia="SimSun" w:hAnsi="Arial" w:cs="Times New Roman"/>
          <w:sz w:val="28"/>
          <w:szCs w:val="20"/>
          <w:lang w:val="en-US" w:eastAsia="zh-CN"/>
        </w:rPr>
        <w:tab/>
        <w:t xml:space="preserve">Existing features partly or fully covering the use case functionality </w:t>
      </w:r>
    </w:p>
    <w:p w:rsidR="00C41AA5" w:rsidRDefault="00C41AA5" w:rsidP="00C41AA5"/>
    <w:p w:rsidR="00C41AA5" w:rsidRPr="003C4D10" w:rsidRDefault="00C41AA5" w:rsidP="00C41AA5">
      <w:pPr>
        <w:rPr>
          <w:rFonts w:ascii="Arial" w:eastAsia="SimSun" w:hAnsi="Arial" w:cs="Times New Roman"/>
          <w:sz w:val="28"/>
          <w:szCs w:val="20"/>
          <w:lang w:val="en-US" w:eastAsia="zh-CN"/>
        </w:rPr>
      </w:pPr>
      <w:r w:rsidRPr="003C4D10">
        <w:rPr>
          <w:rFonts w:ascii="Arial" w:eastAsia="SimSun" w:hAnsi="Arial" w:cs="Times New Roman"/>
          <w:sz w:val="28"/>
          <w:szCs w:val="20"/>
          <w:lang w:val="en-US" w:eastAsia="zh-CN"/>
        </w:rPr>
        <w:t>7.X.6</w:t>
      </w:r>
      <w:r w:rsidRPr="003C4D10">
        <w:rPr>
          <w:rFonts w:ascii="Arial" w:eastAsia="SimSun" w:hAnsi="Arial" w:cs="Times New Roman"/>
          <w:sz w:val="28"/>
          <w:szCs w:val="20"/>
          <w:lang w:val="en-US" w:eastAsia="zh-CN"/>
        </w:rPr>
        <w:tab/>
        <w:t>Potential New Requirements needed to support the use case</w:t>
      </w:r>
    </w:p>
    <w:p w:rsidR="00BF1D3A" w:rsidRPr="003E5385" w:rsidRDefault="00BF1D3A" w:rsidP="00BF1D3A">
      <w:r w:rsidRPr="003E5385">
        <w:t>[</w:t>
      </w:r>
      <w:r>
        <w:t>P</w:t>
      </w:r>
      <w:r w:rsidRPr="003E5385">
        <w:t>R</w:t>
      </w:r>
      <w:r>
        <w:t xml:space="preserve"> 7.X.6-1</w:t>
      </w:r>
      <w:r w:rsidRPr="003E5385">
        <w:t>]</w:t>
      </w:r>
      <w:r w:rsidRPr="003E5385">
        <w:tab/>
        <w:t xml:space="preserve">The </w:t>
      </w:r>
      <w:r>
        <w:t>6G</w:t>
      </w:r>
      <w:r w:rsidRPr="003E5385">
        <w:t xml:space="preserve"> system shall be able to distribute information in a resource efficient way to large numbers of UEs supporting </w:t>
      </w:r>
      <w:r>
        <w:t>sensing services</w:t>
      </w:r>
      <w:r w:rsidRPr="003E5385">
        <w:t>.</w:t>
      </w:r>
    </w:p>
    <w:p w:rsidR="00BF1D3A" w:rsidRDefault="00BF1D3A" w:rsidP="00BF1D3A">
      <w:r w:rsidRPr="003E5385">
        <w:t xml:space="preserve"> </w:t>
      </w:r>
      <w:r w:rsidRPr="003E5385">
        <w:t>[</w:t>
      </w:r>
      <w:r>
        <w:t>P</w:t>
      </w:r>
      <w:r w:rsidRPr="003E5385">
        <w:t>R</w:t>
      </w:r>
      <w:r>
        <w:t xml:space="preserve"> 7.X.6-</w:t>
      </w:r>
      <w:r>
        <w:t>2</w:t>
      </w:r>
      <w:r w:rsidRPr="003E5385">
        <w:t>]</w:t>
      </w:r>
      <w:r w:rsidRPr="003E5385">
        <w:tab/>
      </w:r>
      <w:r>
        <w:t>To support efficient delivery for sensing services the 6G network shall support for handling sensing service subscriber groups</w:t>
      </w:r>
      <w:r w:rsidRPr="003E5385">
        <w:t xml:space="preserve"> </w:t>
      </w:r>
    </w:p>
    <w:p w:rsidR="00BF1D3A" w:rsidRPr="003E5385" w:rsidRDefault="00BF1D3A" w:rsidP="00BF1D3A">
      <w:r>
        <w:t>[</w:t>
      </w:r>
      <w:r>
        <w:t>P</w:t>
      </w:r>
      <w:r w:rsidRPr="003E5385">
        <w:t>R</w:t>
      </w:r>
      <w:r>
        <w:t xml:space="preserve"> 7.X.6-</w:t>
      </w:r>
      <w:r>
        <w:t>3]</w:t>
      </w:r>
      <w:r>
        <w:tab/>
      </w:r>
      <w:r w:rsidRPr="003E5385">
        <w:t xml:space="preserve">For UE supporting </w:t>
      </w:r>
      <w:r>
        <w:t>sensing service</w:t>
      </w:r>
      <w:r w:rsidRPr="003E5385">
        <w:t xml:space="preserve"> with limited resources (e.g., battery), the impact on its resources (e.g., battery consumption) due to message transfer should be minimized.</w:t>
      </w:r>
    </w:p>
    <w:p w:rsidR="00C41AA5" w:rsidRDefault="00C41AA5" w:rsidP="00C41AA5">
      <w:bookmarkStart w:id="0" w:name="_GoBack"/>
      <w:bookmarkEnd w:id="0"/>
    </w:p>
    <w:p w:rsidR="00C41AA5" w:rsidRDefault="00C41AA5"/>
    <w:sectPr w:rsidR="00C41AA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AB1877"/>
    <w:multiLevelType w:val="hybridMultilevel"/>
    <w:tmpl w:val="A1888F16"/>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AA5"/>
    <w:rsid w:val="003C4D10"/>
    <w:rsid w:val="00BF1D3A"/>
    <w:rsid w:val="00C41A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5AB73"/>
  <w15:chartTrackingRefBased/>
  <w15:docId w15:val="{34DDACE8-EAA9-4494-A869-FD865C9DC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1A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1A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1049</Words>
  <Characters>5982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gpy</dc:creator>
  <cp:keywords/>
  <dc:description/>
  <cp:lastModifiedBy>gpy</cp:lastModifiedBy>
  <cp:revision>2</cp:revision>
  <dcterms:created xsi:type="dcterms:W3CDTF">2025-08-14T21:38:00Z</dcterms:created>
  <dcterms:modified xsi:type="dcterms:W3CDTF">2025-08-14T21:55:00Z</dcterms:modified>
</cp:coreProperties>
</file>